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3"/>
        </w:tabs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西安市阳光应急救援志愿者服务中心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活动规范</w:t>
      </w:r>
      <w:bookmarkStart w:id="0" w:name="_GoBack"/>
      <w:bookmarkEnd w:id="0"/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为了规范中心各项活动，保障活动有序开展，现将各项活动开展实施流程规定如下：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所有应急救援及志愿服务活动必须采取报备制度，中心及下属各部门、各队组织开展应急救援、志愿服务活动必须在中心队委群报备，经中心队委会同意后方可开展各项活动。中心各项活动采取项目负责制。各项活动指定一名人员为活动负责人。全权负责本次活动。</w:t>
      </w:r>
    </w:p>
    <w:p>
      <w:pPr>
        <w:numPr>
          <w:ilvl w:val="0"/>
          <w:numId w:val="0"/>
        </w:numPr>
        <w:spacing w:line="360" w:lineRule="auto"/>
        <w:ind w:leftChars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二、报请中心同意的活动，应遵循以下流程，并以电子版、纸质版形式上报中心综合管理部保存并存档。</w:t>
      </w:r>
    </w:p>
    <w:p>
      <w:pPr>
        <w:numPr>
          <w:ilvl w:val="0"/>
          <w:numId w:val="0"/>
        </w:numPr>
        <w:spacing w:line="360" w:lineRule="auto"/>
        <w:ind w:leftChars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（1）应急培训、演练、志愿服务活动应按以下顺序上报：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1、活动策划方案：包括：活动具体安排、活动议程、活动费用预算清单、活动安全预案。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2、活动结束后一个月内需上报活动决算清单、捐助款、物资回执单、参加活动人员签到表、报销单据。活动记录表。未按上述要求中心不予财务报销。发生的经济损失由项目负责人个人承担。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（2）应急救援活动：在活动结束两周内需上报活动记录表、活动签到表、活动决算清单。报销单据。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三、未经中心队委会同意，自行开展的各项活动，均不可以以西安市阳光应急救援志愿者服务中心名义及下属部门、各队名义开展。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四、自行开展的活动造成的不利影响及安全等问题均由举办人承担。我中心保留法律追诉的权利。同时中心将对当事责任人进行问责和处理。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严格在上报的活动计划内开展各项活动。各项活动应提前下发通知和报名链接。根据报名人员名单由中心出资购买人身意外保险。未购买保险的人员拒绝参加活动。报名参加活动并以购买保险者，因个人原因未参加活动的双倍返还保险金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组织活动中活动负责人为安全第一责任人，活动全程必须保证在安全的前提下方可开展。如发生安全事故应第一时间上报中心及各队负责人，并在第一时间积极处理好伤者，并送医治疗。确实保障参加活动人员的生命、财产安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西安市阳光应急救援志愿者服务中心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3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vertAlign w:val="baseli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活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记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录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</w:t>
      </w:r>
    </w:p>
    <w:tbl>
      <w:tblPr>
        <w:tblStyle w:val="4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36"/>
        <w:gridCol w:w="1437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活动时间</w:t>
            </w:r>
          </w:p>
        </w:tc>
        <w:tc>
          <w:tcPr>
            <w:tcW w:w="18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活动地点</w:t>
            </w:r>
          </w:p>
        </w:tc>
        <w:tc>
          <w:tcPr>
            <w:tcW w:w="3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活动名称</w:t>
            </w:r>
          </w:p>
        </w:tc>
        <w:tc>
          <w:tcPr>
            <w:tcW w:w="18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协作单位</w:t>
            </w:r>
          </w:p>
        </w:tc>
        <w:tc>
          <w:tcPr>
            <w:tcW w:w="3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参加人数</w:t>
            </w:r>
          </w:p>
        </w:tc>
        <w:tc>
          <w:tcPr>
            <w:tcW w:w="18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出勤车辆数</w:t>
            </w:r>
          </w:p>
        </w:tc>
        <w:tc>
          <w:tcPr>
            <w:tcW w:w="3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 w:firstLine="720" w:firstLineChars="30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他</w:t>
            </w:r>
          </w:p>
        </w:tc>
        <w:tc>
          <w:tcPr>
            <w:tcW w:w="7096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</w:trPr>
        <w:tc>
          <w:tcPr>
            <w:tcW w:w="1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</w:t>
            </w:r>
          </w:p>
        </w:tc>
        <w:tc>
          <w:tcPr>
            <w:tcW w:w="7096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活动记录和总结</w:t>
            </w:r>
          </w:p>
        </w:tc>
        <w:tc>
          <w:tcPr>
            <w:tcW w:w="709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beforeAutospacing="0" w:after="106" w:afterAutospacing="0" w:line="520" w:lineRule="exact"/>
              <w:ind w:right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lang w:eastAsia="zh-CN"/>
        </w:rPr>
        <w:t>记录人：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3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西安市阳光应急救援志愿者服务中心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3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活动经费决算表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活动名称：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活动时间：</w:t>
      </w:r>
    </w:p>
    <w:tbl>
      <w:tblPr>
        <w:tblStyle w:val="4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83"/>
        <w:gridCol w:w="1566"/>
        <w:gridCol w:w="156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决算价格</w:t>
            </w: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57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合计：￥    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申请人：（签字）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批准人：（签字）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360" w:lineRule="exact"/>
        <w:ind w:right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40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西安市阳光应急救援志愿者服务中心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40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活动经费预算表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活动名称：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活动时间：</w:t>
      </w:r>
    </w:p>
    <w:tbl>
      <w:tblPr>
        <w:tblStyle w:val="4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78"/>
        <w:gridCol w:w="1562"/>
        <w:gridCol w:w="156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预算价格</w:t>
            </w: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6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6" w:beforeAutospacing="0" w:after="106" w:afterAutospacing="0"/>
              <w:ind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合计：￥    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申请人：（签字）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批准人：（签字）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106" w:afterAutospacing="0"/>
        <w:ind w:right="0" w:firstLine="6480" w:firstLineChars="27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年    月      日</w:t>
      </w:r>
    </w:p>
    <w:sectPr>
      <w:pgSz w:w="11906" w:h="16838"/>
      <w:pgMar w:top="1531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B11730"/>
    <w:rsid w:val="0BE56511"/>
    <w:rsid w:val="13290A28"/>
    <w:rsid w:val="2A120207"/>
    <w:rsid w:val="2A4D2703"/>
    <w:rsid w:val="2A6F6462"/>
    <w:rsid w:val="33CB7A78"/>
    <w:rsid w:val="351B68E3"/>
    <w:rsid w:val="44412B46"/>
    <w:rsid w:val="46C378E2"/>
    <w:rsid w:val="48041C63"/>
    <w:rsid w:val="495221C0"/>
    <w:rsid w:val="4D4A3F2C"/>
    <w:rsid w:val="4D4D230D"/>
    <w:rsid w:val="50142058"/>
    <w:rsid w:val="56F925D8"/>
    <w:rsid w:val="5C36508E"/>
    <w:rsid w:val="613345C8"/>
    <w:rsid w:val="61BC52AC"/>
    <w:rsid w:val="63347C5F"/>
    <w:rsid w:val="6CDD7517"/>
    <w:rsid w:val="76B232A4"/>
    <w:rsid w:val="777205AF"/>
    <w:rsid w:val="7A1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721</Characters>
  <Paragraphs>223</Paragraphs>
  <TotalTime>23</TotalTime>
  <ScaleCrop>false</ScaleCrop>
  <LinksUpToDate>false</LinksUpToDate>
  <CharactersWithSpaces>739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2019-05-09T13:50:00Z</dcterms:created>
  <dc:creator>Administrator</dc:creator>
  <cp:lastModifiedBy>老猫宝宝</cp:lastModifiedBy>
  <cp:lastPrinted>2019-05-23T04:45:00Z</cp:lastPrinted>
  <dcterms:modified xsi:type="dcterms:W3CDTF">2022-10-14T08:28:06Z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7D601452E9854520A3AAF4B4AE273DFA</vt:lpwstr>
  </property>
</Properties>
</file>